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D0" w:rsidRPr="00483BD0" w:rsidRDefault="00483BD0" w:rsidP="00483BD0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it-IT"/>
        </w:rPr>
      </w:pPr>
      <w:r w:rsidRPr="00483BD0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it-IT"/>
        </w:rPr>
        <w:br/>
        <w:t xml:space="preserve">Development </w:t>
      </w:r>
      <w:proofErr w:type="spellStart"/>
      <w:r w:rsidRPr="00483BD0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it-IT"/>
        </w:rPr>
        <w:t>Committee</w:t>
      </w:r>
      <w:proofErr w:type="spellEnd"/>
      <w:r w:rsidRPr="00483BD0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it-IT"/>
        </w:rPr>
        <w:t>Communiqué</w:t>
      </w:r>
      <w:proofErr w:type="spellEnd"/>
    </w:p>
    <w:p w:rsidR="00483BD0" w:rsidRPr="00483BD0" w:rsidRDefault="00483BD0" w:rsidP="0048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Joint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Ministerial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Committee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of the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Boards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Of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Governors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of the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Bank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and the Fund on the Transfer of Real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Resources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to</w:t>
      </w:r>
      <w:proofErr w:type="gram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br/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br/>
        <w:t xml:space="preserve">Lima, Peru, </w:t>
      </w:r>
      <w:proofErr w:type="spellStart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>October</w:t>
      </w:r>
      <w:proofErr w:type="spellEnd"/>
      <w:r w:rsidRPr="00483BD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it-IT"/>
        </w:rPr>
        <w:t xml:space="preserve"> 10, 2015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1.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The Development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Committee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met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today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October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10, 2015, in Lima.</w:t>
      </w:r>
      <w:proofErr w:type="gramEnd"/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2. Global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growth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remains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weak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downside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risks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second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half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2015 and 2016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have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A moderate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recovery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high-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income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still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continuing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but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prospects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tighter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conditions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slowing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trade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renewed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weakness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commodity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prices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are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weighing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confidence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many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call on the World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Bank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Group (WBG) and the International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Monetary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Fund (IMF) to monitor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risks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vulnerabilities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closely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enhance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assistance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growth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build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resilience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to play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their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countercyclical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when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needed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3.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Given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 scale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current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refugee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migrant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crisis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call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targeted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collaboration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with the UN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other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partners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addressing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challenges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regions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turmoil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especially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the Middle East and North Africa,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but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also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other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fragile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conflict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states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4.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Sustainable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Development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Goals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(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) chart a new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course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next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15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years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are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universal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integrated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align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with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WBG’s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corporate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goals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Building on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Billions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Trillions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discussion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at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last Spring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Meetings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endorse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WBG’s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the 2030 Agenda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Sustainable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Development.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will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involve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convening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connecting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coordinating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with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governments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UN, IMF,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MDBs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the WTO, private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sector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civil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society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mobilize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needed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;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deliver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solutions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country,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regional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global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levels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through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South-South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cooperation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stress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need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focus on inclusive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growth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jobs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infrastructure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human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health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systems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deepen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WBG’s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engagem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ent in fragile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conflict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states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Private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sector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crucial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achieving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call on the IFC and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MIGA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play a more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catalytic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mobilize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private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sector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investment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welcome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steps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WBG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has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taken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enhance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effectiveness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delivery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respond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strong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demand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through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operational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reforms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optimizing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use of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balance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sheets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external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resources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recognize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that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WBG must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remain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adequately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resourced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meet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goals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contribute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climate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agendas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  <w:proofErr w:type="gramEnd"/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5. IDA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remains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critical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tool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achieve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WBG’s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goals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look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forward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continued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strong IDA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replenishments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further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consideration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options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generate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additional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IDA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financial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capacity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while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ensuring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continued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focus on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poorest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6.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welcome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IMF’s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2030 Agenda,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decision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increase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access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concessional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lending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facilities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work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boost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economic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resilience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sustain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global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economic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financial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stability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7.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urge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WBG and the IMF to scale up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their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improve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domestic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resource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mobilization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public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financial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management and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curb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illicit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Illicit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underlying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activities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tax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evasion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corruption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criminal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activities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collusion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represent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 major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drain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on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resources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welcome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their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plans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work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jointly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build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capacity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international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tax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issues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  <w:proofErr w:type="gramEnd"/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8.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Climate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change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natural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disasters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put hard-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earned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gains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at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particularly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poor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vulnerable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Smart policy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investment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choices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can help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transition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economic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growth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paths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that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reduce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poverty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while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preserving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environment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urge the WBG to scale up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technical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financial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mobilize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resources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assist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assessing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climate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risks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opportunities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address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drivers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of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climate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change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build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resilience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look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forward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an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updated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report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on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Disaster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Management in Spring 2016.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call on the WBG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enhance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small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states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building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resilience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against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mitigating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impact of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natural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disasters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climate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change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which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are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among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greatest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challenges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faced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by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these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look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forward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successful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COP21 meeting in Paris.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lastRenderedPageBreak/>
        <w:t xml:space="preserve">9.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reaffirm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our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commitment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gender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equality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critical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poverty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boosting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shared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prosperity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building more inclusive societies.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look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forward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implementation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a new WBG gender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strategy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aimed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closing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persistent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gender gaps.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10. The Global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Monitoring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Report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has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proven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value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tracking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progress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achieving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are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confident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will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play 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similar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the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latest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GMR shows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that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changes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global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demography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will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profoundly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affect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trajectory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global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during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2030 Agenda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period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With the right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policies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demographic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change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can help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growth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both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economies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urge the WBG to take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demographic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challenges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into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account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work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policies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11.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stress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importance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of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strengthening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data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quality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coverage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availability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policy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making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monitoring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implementing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SDGs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call on the WBG and the IMF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increase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their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countries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building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national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data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capacity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investing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evidence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12.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welcome the Report of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2015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Shareholding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Review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agree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shareholding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review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principles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Roadmap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implementation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further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consideration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WBG’s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long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term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commit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implementing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Roadmap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including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agreement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on a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dynamic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formula by the 2016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Annual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Meetings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based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on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guidance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set out in the report.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stress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critical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importance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wider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reforms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strengthen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WBG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responsiveness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members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their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voice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representation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governance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will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continue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to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promote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diversity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inclusion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reflect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better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global nature of the WBG.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13.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Delivering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transformative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solutions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requires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 focus on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results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support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implementation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fiduciary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and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safeguards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policies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manage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risks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will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ensure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responsiveness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client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needs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deliver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sustainable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development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outcomes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welcome the new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procurement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framework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approved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July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2015 and look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forward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successful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completion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review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update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the World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Bank's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environmental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social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framework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14.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Committee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expressed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its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appreciation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to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Government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the Republic of Peru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for 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hosting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Annual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Meetings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thanked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Mr. Marek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Belka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President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the National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Bank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Poland, for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valuable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and </w:t>
      </w:r>
      <w:proofErr w:type="spellStart"/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outstanding</w:t>
      </w:r>
      <w:proofErr w:type="spellEnd"/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leadership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guidance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Chairman of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Committee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during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past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four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years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and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welcomed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his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successor, Mr.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Bambang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Brodjonegoro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,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Minister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of Finance of Indonesia.</w:t>
      </w:r>
    </w:p>
    <w:p w:rsidR="00483BD0" w:rsidRPr="00483BD0" w:rsidRDefault="00483BD0" w:rsidP="00483BD0">
      <w:pPr>
        <w:shd w:val="clear" w:color="auto" w:fill="FFFFFF"/>
        <w:spacing w:before="60" w:after="45" w:line="240" w:lineRule="auto"/>
        <w:ind w:right="60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15. The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next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meeting of </w:t>
      </w:r>
      <w:proofErr w:type="gram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the</w:t>
      </w:r>
      <w:proofErr w:type="gram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Development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Committee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is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scheduled</w:t>
      </w:r>
      <w:proofErr w:type="spellEnd"/>
      <w:r w:rsidRPr="00483BD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for April 16, 2016, in Washington, D.C.</w:t>
      </w:r>
    </w:p>
    <w:p w:rsidR="00614384" w:rsidRDefault="00614384">
      <w:bookmarkStart w:id="0" w:name="_GoBack"/>
      <w:bookmarkEnd w:id="0"/>
    </w:p>
    <w:sectPr w:rsidR="00614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D0"/>
    <w:rsid w:val="00160CFE"/>
    <w:rsid w:val="00483BD0"/>
    <w:rsid w:val="006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2015-10-12T09:15:00Z</dcterms:created>
  <dcterms:modified xsi:type="dcterms:W3CDTF">2015-10-12T09:15:00Z</dcterms:modified>
</cp:coreProperties>
</file>